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F81857">
        <w:rPr>
          <w:rFonts w:ascii="Times New Roman" w:hAnsi="Times New Roman" w:cs="Times New Roman"/>
          <w:b/>
          <w:bCs/>
          <w:sz w:val="24"/>
          <w:szCs w:val="24"/>
        </w:rPr>
        <w:t>1e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2F773D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E60D46" w:rsidRPr="002F773D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E60D46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E60D46" w:rsidRPr="00B72D3C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E60D46" w:rsidRPr="002F773D" w:rsidTr="00B40C6D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I. </w:t>
            </w:r>
            <w:r w:rsidRPr="00B72D3C">
              <w:rPr>
                <w:rFonts w:cstheme="minorHAnsi"/>
                <w:b/>
                <w:bCs/>
                <w:color w:val="000000"/>
              </w:rPr>
              <w:t>Osoba przedsiębiorcza</w:t>
            </w:r>
          </w:p>
        </w:tc>
      </w:tr>
      <w:tr w:rsidR="00E60D46" w:rsidRPr="002F773D" w:rsidTr="00B40C6D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wyjaśnia, czym jest przedsiębiorczość,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różnice między komunikacją społeczną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a komunikacją interpersonalną,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odróżnia komunikację werbalną od komunikacji niewerbalnej,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wymienia cechy osoby przedsiębiorczej,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identyfikuje elementy, które składają się na kompetencje osoby przedsiębiorczej, 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bariery komunikacyjne i podaje ich przykłady,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 xml:space="preserve">• identyfikuje swoje mocne </w:t>
            </w:r>
            <w:r>
              <w:rPr>
                <w:rFonts w:cstheme="minorHAnsi"/>
              </w:rPr>
              <w:br/>
            </w:r>
            <w:r w:rsidRPr="00BC0FF0">
              <w:rPr>
                <w:rFonts w:cstheme="minorHAnsi"/>
              </w:rPr>
              <w:t>i słabe strony, a następnie posiadane cechy osoby przedsiębiorczej,</w:t>
            </w:r>
          </w:p>
          <w:p w:rsidR="00E60D46" w:rsidRPr="00417C7B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własne kompetencje </w:t>
            </w:r>
            <w:r w:rsidRPr="00417C7B">
              <w:rPr>
                <w:rFonts w:cstheme="minorHAnsi"/>
              </w:rPr>
              <w:t>przedsiębiorcze,</w:t>
            </w:r>
          </w:p>
          <w:p w:rsidR="00E60D46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E60D46" w:rsidRPr="00B72D3C" w:rsidRDefault="00E60D46" w:rsidP="00B40C6D">
            <w:pPr>
              <w:pStyle w:val="Akapitzlist"/>
              <w:tabs>
                <w:tab w:val="left" w:pos="0"/>
              </w:tabs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E60D4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ok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reśla związek między zachowaniami osoby przedsiębiorczej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rozpoznaje wybrane techniki manipulacji </w:t>
            </w:r>
            <w:r w:rsidRPr="00B72D3C">
              <w:rPr>
                <w:rFonts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E60D46" w:rsidRPr="00413932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</w:p>
          <w:p w:rsidR="00E60D46" w:rsidRPr="00413932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opracowuje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E60D46" w:rsidRPr="002F773D" w:rsidRDefault="00E60D46" w:rsidP="00B40C6D">
            <w:pPr>
              <w:pStyle w:val="Akapitzlist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D46" w:rsidRPr="002F773D" w:rsidTr="00B40C6D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1F108F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II. 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odejmowanie decyzji, praca zespołowa i kreatywne myślenie </w:t>
            </w:r>
          </w:p>
        </w:tc>
      </w:tr>
      <w:tr w:rsidR="00E60D46" w:rsidRPr="002F773D" w:rsidTr="00B40C6D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zarządzanie czasem,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znaczenie pracy zespołowej,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innowacje,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etapy podejmowania decyzji,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na czym polega kreatywne myślenie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dlaczego pomaga ono </w:t>
            </w:r>
            <w:r w:rsidRPr="00B72D3C">
              <w:rPr>
                <w:rFonts w:cstheme="minorHAnsi"/>
              </w:rPr>
              <w:br/>
              <w:t xml:space="preserve">w rozpoznawaniu szans </w:t>
            </w:r>
            <w:r w:rsidRPr="00B72D3C">
              <w:rPr>
                <w:rFonts w:cstheme="minorHAnsi"/>
              </w:rPr>
              <w:lastRenderedPageBreak/>
              <w:t>rynkowych,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główne bariery ograniczające kreatywne myślenie,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rozróżnia rodzaje innowacji,</w:t>
            </w:r>
          </w:p>
          <w:p w:rsidR="00E60D46" w:rsidRPr="00BC0FF0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>• stosuje wybrane metody wspomagające podejmowanie decyzji (np. burzę mózgów),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stosuje wybrane techniki pobudzające kreatywność,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na podstawie </w:t>
            </w:r>
            <w:r w:rsidRPr="00B72D3C">
              <w:rPr>
                <w:rFonts w:cstheme="minorHAnsi"/>
              </w:rPr>
              <w:lastRenderedPageBreak/>
              <w:t>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E60D46" w:rsidRPr="00BC0FF0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</w:t>
            </w:r>
            <w:r w:rsidRPr="00B72D3C">
              <w:rPr>
                <w:rFonts w:asciiTheme="minorHAnsi" w:hAnsiTheme="minorHAnsi" w:cstheme="minorHAnsi"/>
              </w:rPr>
              <w:lastRenderedPageBreak/>
              <w:t xml:space="preserve">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tworzeniu i funkcjonowaniu zespołów,</w:t>
            </w:r>
          </w:p>
        </w:tc>
        <w:tc>
          <w:tcPr>
            <w:tcW w:w="2948" w:type="dxa"/>
          </w:tcPr>
          <w:p w:rsidR="00E60D46" w:rsidRPr="00BC0FF0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</w:t>
            </w:r>
            <w:r w:rsidRPr="009F2548">
              <w:rPr>
                <w:rFonts w:cstheme="minorHAnsi"/>
                <w:sz w:val="24"/>
                <w:szCs w:val="24"/>
              </w:rPr>
              <w:t>rganizuje jako lider pracę hipotetycznego zespołu,</w:t>
            </w:r>
          </w:p>
        </w:tc>
      </w:tr>
      <w:tr w:rsidR="00E60D46" w:rsidRPr="000A6C72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  <w:b/>
              </w:rPr>
              <w:lastRenderedPageBreak/>
              <w:t>III. Zarządzanie projektami</w:t>
            </w:r>
          </w:p>
        </w:tc>
      </w:tr>
      <w:tr w:rsidR="00E60D46" w:rsidRPr="000A6C72" w:rsidTr="00B40C6D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istotę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przykładowe cechy lidera zespołu projektowego,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czynniki decydujące o dobrej organizacji pracy zespołu,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E60D46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definiuje cele projektu za pomocą metody SMART,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i charakteryzuje poszczególne etapy projektu na wybranym przykładzie,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strukturę prac projektowych, w tym określa zadania projektowe,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zadania i role poszczególnych członków zespołu na przykładzie wybranego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weryfikuje na wybranym przykładzie harmonogram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budżet projektu oraz wprowadza konieczne zmiany w harmonogramie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budżecie,</w:t>
            </w:r>
          </w:p>
          <w:p w:rsidR="00E60D46" w:rsidRDefault="001508E9" w:rsidP="001508E9">
            <w:pPr>
              <w:pStyle w:val="Akapitzlist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identyfikuje</w:t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 główne problemy oraz ryzyka pojawiające się podczas realizacji projektu, </w:t>
            </w:r>
            <w:r w:rsidR="00E60D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E60D46" w:rsidRPr="00AE1515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E60D46" w:rsidRDefault="00E60D46" w:rsidP="00E60D46">
      <w:pPr>
        <w:pStyle w:val="Akapitzlist"/>
        <w:numPr>
          <w:ilvl w:val="0"/>
          <w:numId w:val="3"/>
        </w:numPr>
      </w:pPr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0A6C72" w:rsidTr="00B40C6D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lastRenderedPageBreak/>
              <w:t>IV. Gospodarka rynkowa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rozwój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przejawy współczesnego patriotyzmu gospodarczego w życiu codziennym,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filary gospodarki rynkowej i je charakteryzuje,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</w:t>
            </w:r>
            <w:r>
              <w:rPr>
                <w:rFonts w:cstheme="minorHAnsi"/>
              </w:rPr>
              <w:t>są</w:t>
            </w:r>
            <w:r w:rsidRPr="00B72D3C">
              <w:rPr>
                <w:rFonts w:cstheme="minorHAnsi"/>
              </w:rPr>
              <w:t xml:space="preserve"> budżet państwa, nadwyżka budżetowa, deficyt budżetowy i dług publiczny,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jest rynek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jakie pełni funkcje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gospodarce,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prawo popytu i prawo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B72D3C">
              <w:rPr>
                <w:rFonts w:cstheme="minorHAnsi"/>
              </w:rPr>
              <w:t xml:space="preserve">: </w:t>
            </w:r>
            <w:r w:rsidRPr="00B72D3C">
              <w:rPr>
                <w:rFonts w:cstheme="minorHAnsi"/>
                <w:i/>
              </w:rPr>
              <w:t>konsument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gwarancja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reklamacja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zakupy na odległość</w:t>
            </w:r>
            <w:r w:rsidRPr="00B72D3C">
              <w:rPr>
                <w:rFonts w:cstheme="minorHAnsi"/>
              </w:rPr>
              <w:t xml:space="preserve">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rolę przedsiębiorczości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rozwoju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gospodarczym w skali lokalnej, regionalnej, krajowej i globalnej,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zalety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dochody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wydatki budżetu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przykładowej jednostki samorządu terytorialnego,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klasyfikuje rodzaje rynków według wybranych kryteriów,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pozacenowe czynniki kształtujące wielkość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pozacenowe czynniki kształtujące wielkość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omawia podstawowe parametry charakteryzujące gospodarkę (PKB, inflacj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>, zatrudnienie, bezrobocie),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wpływ deficytu budżetowego i długu publicznego na funkcjonowanie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gospodarki,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charakteryzuje główne modele struktur rynkowych (monopol, oligopol,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monopolistyczn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doskonał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),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zjawiska nadwyżki rynkowej </w:t>
            </w:r>
            <w:r w:rsidRPr="00B72D3C">
              <w:rPr>
                <w:rFonts w:cstheme="minorHAnsi"/>
              </w:rPr>
              <w:br/>
              <w:t>i niedoboru rynkowego,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instytucje zajmujące się ochroną konsumentów oraz określa cele i zadania</w:t>
            </w:r>
            <w:r>
              <w:rPr>
                <w:rFonts w:cstheme="minorHAnsi"/>
              </w:rPr>
              <w:t xml:space="preserve"> tych instytucji</w:t>
            </w:r>
            <w:r w:rsidRPr="00B72D3C">
              <w:rPr>
                <w:rFonts w:cstheme="minorHAnsi"/>
              </w:rPr>
              <w:t>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określa, czym jest patriotyzm zakupowy oraz jakie są jego przejawy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zależności między podmiotami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na przykładzie przebieg krzywej podaży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krzywej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podaje różnice między reklamacją niezgodności towaru z umową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a gwarancją,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negatywne skutki ograniczonej konkurencji i potrzebę przeciwdziałania jej,</w:t>
            </w:r>
          </w:p>
          <w:p w:rsidR="00E60D46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wyznacza na prostych przykładach punkt równowagi rynkowej,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sporządza przykładową reklamację,</w:t>
            </w:r>
          </w:p>
        </w:tc>
      </w:tr>
      <w:tr w:rsidR="00E60D46" w:rsidRPr="000A6C72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t xml:space="preserve">IV. </w:t>
            </w:r>
            <w:r>
              <w:rPr>
                <w:rFonts w:cstheme="minorHAnsi"/>
                <w:b/>
              </w:rPr>
              <w:t>Finanse osobiste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lastRenderedPageBreak/>
              <w:t>• wyjaśnia, czym jest pieniądz,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osobaprawna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130"/>
              </w:tabs>
              <w:spacing w:after="0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1A3555" w:rsidRDefault="00947C8D" w:rsidP="00947C8D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osiągnięć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edukacyjnych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uczniów</w:t>
      </w:r>
    </w:p>
    <w:p w:rsidR="00AF64A4" w:rsidRDefault="00AF64A4" w:rsidP="00AB4CB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294EAC" w:rsidRPr="00D5437E" w:rsidRDefault="00294EAC" w:rsidP="00294EA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294EAC" w:rsidRDefault="00294EAC" w:rsidP="00294EA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294EAC" w:rsidRDefault="00294EAC" w:rsidP="00294EAC">
      <w:pPr>
        <w:pStyle w:val="Akapitzlist"/>
        <w:jc w:val="both"/>
        <w:rPr>
          <w:sz w:val="24"/>
          <w:szCs w:val="24"/>
        </w:rPr>
      </w:pPr>
    </w:p>
    <w:p w:rsidR="00294EAC" w:rsidRDefault="00355BFF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4EAC"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="00294EAC" w:rsidRPr="00AC0FC6">
        <w:rPr>
          <w:sz w:val="24"/>
          <w:szCs w:val="24"/>
        </w:rPr>
        <w:t>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 w:rsidR="00355BFF"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 w:rsidR="00355BFF"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294EAC" w:rsidRPr="008C2D1F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 w:rsidR="00355BFF"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294EAC" w:rsidRPr="00C20D30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 w:rsidR="00355BFF"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 w:rsidR="00417C3D">
        <w:rPr>
          <w:sz w:val="24"/>
          <w:szCs w:val="24"/>
        </w:rPr>
        <w:t xml:space="preserve">amodzielnie lub w zespole </w:t>
      </w:r>
      <w:r>
        <w:rPr>
          <w:sz w:val="24"/>
          <w:szCs w:val="24"/>
        </w:rPr>
        <w:t>(waga 2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AB4CB9" w:rsidRDefault="00AB4CB9" w:rsidP="00AB4CB9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AB4CB9" w:rsidRPr="00AB4CB9" w:rsidRDefault="00AB4CB9" w:rsidP="00AB4CB9">
      <w:pPr>
        <w:pStyle w:val="Akapitzlist"/>
        <w:ind w:left="1080" w:firstLine="0"/>
        <w:rPr>
          <w:b/>
          <w:sz w:val="28"/>
          <w:szCs w:val="28"/>
        </w:rPr>
      </w:pPr>
    </w:p>
    <w:p w:rsidR="00AB4CB9" w:rsidRPr="00AB4CB9" w:rsidRDefault="00AB4CB9" w:rsidP="00AB4CB9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AB4CB9" w:rsidRDefault="00AB4CB9" w:rsidP="00AB4CB9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AB4CB9" w:rsidRPr="00E57602" w:rsidRDefault="00E57602" w:rsidP="00E57602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</w:t>
      </w:r>
      <w:r w:rsidR="00921BED">
        <w:rPr>
          <w:b/>
          <w:sz w:val="28"/>
          <w:szCs w:val="28"/>
        </w:rPr>
        <w:t xml:space="preserve"> dot.</w:t>
      </w:r>
      <w:r w:rsidR="00AB4CB9" w:rsidRPr="00AB4CB9">
        <w:rPr>
          <w:b/>
          <w:sz w:val="28"/>
          <w:szCs w:val="28"/>
        </w:rPr>
        <w:t xml:space="preserve"> oceniania</w:t>
      </w:r>
    </w:p>
    <w:p w:rsidR="00AB4CB9" w:rsidRPr="00AB4CB9" w:rsidRDefault="00AB4CB9" w:rsidP="00AB4CB9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AB4CB9" w:rsidRPr="00AF64A4" w:rsidRDefault="00AB4CB9" w:rsidP="00AB4CB9">
      <w:pPr>
        <w:pStyle w:val="Tekstpodstawowy"/>
        <w:spacing w:before="3"/>
      </w:pPr>
    </w:p>
    <w:p w:rsidR="00AB4CB9" w:rsidRPr="00D84B18" w:rsidRDefault="00AB4CB9" w:rsidP="00D84B1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304BCF" w:rsidRPr="00AB4CB9" w:rsidRDefault="00304BCF" w:rsidP="00AB4CB9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ustala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się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jako średnią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ważoną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ocen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bieżących wg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następującej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947C8D" w:rsidRPr="00921BED" w:rsidRDefault="00ED74F8" w:rsidP="00E576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3. </w:t>
      </w:r>
      <w:r w:rsidR="00355BFF" w:rsidRPr="00E57602">
        <w:rPr>
          <w:rFonts w:ascii="Times New Roman" w:hAnsi="Times New Roman" w:cs="Times New Roman"/>
          <w:sz w:val="24"/>
          <w:szCs w:val="24"/>
        </w:rPr>
        <w:t>Uczeń może poprawić</w:t>
      </w:r>
      <w:r w:rsidR="00417C3D" w:rsidRPr="00E57602">
        <w:rPr>
          <w:rFonts w:ascii="Times New Roman" w:hAnsi="Times New Roman" w:cs="Times New Roman"/>
          <w:sz w:val="24"/>
          <w:szCs w:val="24"/>
        </w:rPr>
        <w:t xml:space="preserve"> oceny  w ter</w:t>
      </w:r>
      <w:r w:rsidR="00355BFF" w:rsidRPr="00E57602">
        <w:rPr>
          <w:rFonts w:ascii="Times New Roman" w:hAnsi="Times New Roman" w:cs="Times New Roman"/>
          <w:sz w:val="24"/>
          <w:szCs w:val="24"/>
        </w:rPr>
        <w:t>minie uzgodnionym z nauczycielem</w:t>
      </w:r>
      <w:r w:rsidR="00D84B18" w:rsidRPr="00E57602">
        <w:rPr>
          <w:rFonts w:ascii="Times New Roman" w:hAnsi="Times New Roman" w:cs="Times New Roman"/>
          <w:sz w:val="24"/>
          <w:szCs w:val="24"/>
        </w:rPr>
        <w:t>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</w:t>
      </w:r>
      <w:r w:rsidR="00417C3D" w:rsidRPr="00E57602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podręcznika, zeszytu ćwiczeń</w:t>
      </w:r>
      <w:r w:rsidRPr="00E57602">
        <w:rPr>
          <w:rFonts w:ascii="Times New Roman" w:hAnsi="Times New Roman" w:cs="Times New Roman"/>
          <w:sz w:val="24"/>
          <w:szCs w:val="24"/>
        </w:rPr>
        <w:t>.</w:t>
      </w:r>
    </w:p>
    <w:p w:rsidR="00E57602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sectPr w:rsidR="00E57602" w:rsidRPr="00E57602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1A3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2E5C23"/>
    <w:rsid w:val="00304BCF"/>
    <w:rsid w:val="00355BFF"/>
    <w:rsid w:val="003A2B66"/>
    <w:rsid w:val="00417C3D"/>
    <w:rsid w:val="004C64FF"/>
    <w:rsid w:val="004E6447"/>
    <w:rsid w:val="006C3D8A"/>
    <w:rsid w:val="00907E51"/>
    <w:rsid w:val="00921BED"/>
    <w:rsid w:val="00947C8D"/>
    <w:rsid w:val="00AA79F4"/>
    <w:rsid w:val="00AB4CB9"/>
    <w:rsid w:val="00AF64A4"/>
    <w:rsid w:val="00B139C5"/>
    <w:rsid w:val="00BE4CE2"/>
    <w:rsid w:val="00C25FD5"/>
    <w:rsid w:val="00C76889"/>
    <w:rsid w:val="00C82EA4"/>
    <w:rsid w:val="00CA427C"/>
    <w:rsid w:val="00D84B18"/>
    <w:rsid w:val="00E574EF"/>
    <w:rsid w:val="00E57602"/>
    <w:rsid w:val="00E60D46"/>
    <w:rsid w:val="00ED74F8"/>
    <w:rsid w:val="00F81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10</cp:revision>
  <dcterms:created xsi:type="dcterms:W3CDTF">2025-08-28T11:51:00Z</dcterms:created>
  <dcterms:modified xsi:type="dcterms:W3CDTF">2025-09-02T08:17:00Z</dcterms:modified>
</cp:coreProperties>
</file>